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42D6" w14:textId="3BEC03B1" w:rsidR="00CF07FC" w:rsidRPr="00CF07FC" w:rsidRDefault="00CF07FC" w:rsidP="00CF07FC">
      <w:pPr>
        <w:rPr>
          <w:rFonts w:ascii="Book Antiqua" w:hAnsi="Book Antiqua"/>
          <w:b/>
          <w:bCs/>
          <w:sz w:val="24"/>
          <w:szCs w:val="24"/>
        </w:rPr>
      </w:pPr>
      <w:r w:rsidRPr="00CF07FC">
        <w:rPr>
          <w:rFonts w:ascii="Book Antiqua" w:hAnsi="Book Antiqua"/>
          <w:b/>
          <w:bCs/>
          <w:sz w:val="24"/>
          <w:szCs w:val="24"/>
        </w:rPr>
        <w:t>Resolution on the Protection of Internally Displaced Person Camps and Sites from attacks - ACHPR/Rés.513</w:t>
      </w:r>
      <w:r>
        <w:rPr>
          <w:rFonts w:ascii="Book Antiqua" w:hAnsi="Book Antiqua"/>
          <w:b/>
          <w:bCs/>
          <w:sz w:val="24"/>
          <w:szCs w:val="24"/>
        </w:rPr>
        <w:t xml:space="preserve"> </w:t>
      </w:r>
      <w:r w:rsidRPr="00CF07FC">
        <w:rPr>
          <w:rFonts w:ascii="Book Antiqua" w:hAnsi="Book Antiqua"/>
          <w:b/>
          <w:bCs/>
          <w:sz w:val="24"/>
          <w:szCs w:val="24"/>
        </w:rPr>
        <w:t>(LXX)</w:t>
      </w:r>
      <w:r>
        <w:rPr>
          <w:rFonts w:ascii="Book Antiqua" w:hAnsi="Book Antiqua"/>
          <w:b/>
          <w:bCs/>
          <w:sz w:val="24"/>
          <w:szCs w:val="24"/>
        </w:rPr>
        <w:t xml:space="preserve"> 2022</w:t>
      </w:r>
    </w:p>
    <w:p w14:paraId="611476EE" w14:textId="77777777" w:rsidR="00CF07FC" w:rsidRPr="00CF07FC" w:rsidRDefault="00CF07FC" w:rsidP="00CF07FC">
      <w:pPr>
        <w:rPr>
          <w:rFonts w:ascii="Book Antiqua" w:hAnsi="Book Antiqua"/>
          <w:sz w:val="24"/>
          <w:szCs w:val="24"/>
        </w:rPr>
      </w:pPr>
      <w:r w:rsidRPr="00CF07FC">
        <w:rPr>
          <w:rFonts w:ascii="Book Antiqua" w:hAnsi="Book Antiqua"/>
          <w:sz w:val="24"/>
          <w:szCs w:val="24"/>
        </w:rPr>
        <w:t xml:space="preserve">The African Commission on Human and Peoples’ Rights (the Commission), meeting at its 70th Ordinary Session held virtually from 23 February to 9 March </w:t>
      </w:r>
      <w:proofErr w:type="gramStart"/>
      <w:r w:rsidRPr="00CF07FC">
        <w:rPr>
          <w:rFonts w:ascii="Book Antiqua" w:hAnsi="Book Antiqua"/>
          <w:sz w:val="24"/>
          <w:szCs w:val="24"/>
        </w:rPr>
        <w:t>2022;</w:t>
      </w:r>
      <w:proofErr w:type="gramEnd"/>
    </w:p>
    <w:p w14:paraId="0E0BCF50" w14:textId="77777777" w:rsidR="00CF07FC" w:rsidRPr="00CF07FC" w:rsidRDefault="00CF07FC" w:rsidP="00CF07FC">
      <w:pPr>
        <w:rPr>
          <w:rFonts w:ascii="Book Antiqua" w:hAnsi="Book Antiqua"/>
          <w:sz w:val="24"/>
          <w:szCs w:val="24"/>
        </w:rPr>
      </w:pPr>
      <w:r w:rsidRPr="00CF07FC">
        <w:rPr>
          <w:rFonts w:ascii="Book Antiqua" w:hAnsi="Book Antiqua"/>
          <w:b/>
          <w:bCs/>
          <w:i/>
          <w:iCs/>
          <w:sz w:val="24"/>
          <w:szCs w:val="24"/>
        </w:rPr>
        <w:t>Recalling</w:t>
      </w:r>
      <w:r w:rsidRPr="00CF07FC">
        <w:rPr>
          <w:rFonts w:ascii="Book Antiqua" w:hAnsi="Book Antiqua"/>
          <w:sz w:val="24"/>
          <w:szCs w:val="24"/>
        </w:rPr>
        <w:t xml:space="preserve"> its mandate of promotion and protection of human and peoples’ rights in Africa, pursuant to Article 45 of the African Charter on Human and Peoples’ Rights (the African Charter</w:t>
      </w:r>
      <w:proofErr w:type="gramStart"/>
      <w:r w:rsidRPr="00CF07FC">
        <w:rPr>
          <w:rFonts w:ascii="Book Antiqua" w:hAnsi="Book Antiqua"/>
          <w:sz w:val="24"/>
          <w:szCs w:val="24"/>
        </w:rPr>
        <w:t>);</w:t>
      </w:r>
      <w:proofErr w:type="gramEnd"/>
      <w:r w:rsidRPr="00CF07FC">
        <w:rPr>
          <w:rFonts w:ascii="Book Antiqua" w:hAnsi="Book Antiqua"/>
          <w:sz w:val="24"/>
          <w:szCs w:val="24"/>
        </w:rPr>
        <w:t xml:space="preserve"> </w:t>
      </w:r>
    </w:p>
    <w:p w14:paraId="4BBCA90A" w14:textId="77777777" w:rsidR="00CF07FC" w:rsidRPr="00CF07FC" w:rsidRDefault="00CF07FC" w:rsidP="00CF07FC">
      <w:pPr>
        <w:rPr>
          <w:rFonts w:ascii="Book Antiqua" w:hAnsi="Book Antiqua"/>
          <w:sz w:val="24"/>
          <w:szCs w:val="24"/>
        </w:rPr>
      </w:pPr>
      <w:r w:rsidRPr="00CF07FC">
        <w:rPr>
          <w:rFonts w:ascii="Book Antiqua" w:hAnsi="Book Antiqua"/>
          <w:b/>
          <w:bCs/>
          <w:i/>
          <w:iCs/>
          <w:sz w:val="24"/>
          <w:szCs w:val="24"/>
        </w:rPr>
        <w:t>Considering</w:t>
      </w:r>
      <w:r w:rsidRPr="00CF07FC">
        <w:rPr>
          <w:rFonts w:ascii="Book Antiqua" w:hAnsi="Book Antiqua"/>
          <w:sz w:val="24"/>
          <w:szCs w:val="24"/>
        </w:rPr>
        <w:t xml:space="preserve"> Article 3(f) of the Constitutive Act and Article 3(f) of the Protocol Relating to the Establishment of the Peace and Security Council of the African Union, which recommend the promotion of peace, security and stability as well as the encouragement of democratic practices, good governance and the rule of law, the protection of human rights and fundamental freedoms, respect for the sanctity of human life and international humanitarian law, as part of efforts for preventing </w:t>
      </w:r>
      <w:proofErr w:type="gramStart"/>
      <w:r w:rsidRPr="00CF07FC">
        <w:rPr>
          <w:rFonts w:ascii="Book Antiqua" w:hAnsi="Book Antiqua"/>
          <w:sz w:val="24"/>
          <w:szCs w:val="24"/>
        </w:rPr>
        <w:t>conflicts;</w:t>
      </w:r>
      <w:proofErr w:type="gramEnd"/>
    </w:p>
    <w:p w14:paraId="683A3093" w14:textId="77777777" w:rsidR="00CF07FC" w:rsidRPr="00CF07FC" w:rsidRDefault="00CF07FC" w:rsidP="00CF07FC">
      <w:pPr>
        <w:rPr>
          <w:rFonts w:ascii="Book Antiqua" w:hAnsi="Book Antiqua"/>
          <w:sz w:val="24"/>
          <w:szCs w:val="24"/>
        </w:rPr>
      </w:pPr>
      <w:r w:rsidRPr="00CF07FC">
        <w:rPr>
          <w:rFonts w:ascii="Book Antiqua" w:hAnsi="Book Antiqua"/>
          <w:b/>
          <w:bCs/>
          <w:i/>
          <w:iCs/>
          <w:sz w:val="24"/>
          <w:szCs w:val="24"/>
        </w:rPr>
        <w:t>Also considering</w:t>
      </w:r>
      <w:r w:rsidRPr="00CF07FC">
        <w:rPr>
          <w:rFonts w:ascii="Book Antiqua" w:hAnsi="Book Antiqua"/>
          <w:sz w:val="24"/>
          <w:szCs w:val="24"/>
        </w:rPr>
        <w:t xml:space="preserve"> Article 23 of the African Charter which guarantees peace and security for all </w:t>
      </w:r>
      <w:proofErr w:type="gramStart"/>
      <w:r w:rsidRPr="00CF07FC">
        <w:rPr>
          <w:rFonts w:ascii="Book Antiqua" w:hAnsi="Book Antiqua"/>
          <w:sz w:val="24"/>
          <w:szCs w:val="24"/>
        </w:rPr>
        <w:t>Africans;</w:t>
      </w:r>
      <w:proofErr w:type="gramEnd"/>
    </w:p>
    <w:p w14:paraId="444A727A" w14:textId="77777777" w:rsidR="00CF07FC" w:rsidRPr="00CF07FC" w:rsidRDefault="00CF07FC" w:rsidP="00CF07FC">
      <w:pPr>
        <w:rPr>
          <w:rFonts w:ascii="Book Antiqua" w:hAnsi="Book Antiqua"/>
          <w:sz w:val="24"/>
          <w:szCs w:val="24"/>
        </w:rPr>
      </w:pPr>
      <w:proofErr w:type="spellStart"/>
      <w:r w:rsidRPr="00CF07FC">
        <w:rPr>
          <w:rFonts w:ascii="Book Antiqua" w:hAnsi="Book Antiqua"/>
          <w:b/>
          <w:bCs/>
          <w:i/>
          <w:iCs/>
          <w:sz w:val="24"/>
          <w:szCs w:val="24"/>
        </w:rPr>
        <w:t>Emphasising</w:t>
      </w:r>
      <w:proofErr w:type="spellEnd"/>
      <w:r w:rsidRPr="00CF07FC">
        <w:rPr>
          <w:rFonts w:ascii="Book Antiqua" w:hAnsi="Book Antiqua"/>
          <w:sz w:val="24"/>
          <w:szCs w:val="24"/>
        </w:rPr>
        <w:t xml:space="preserve"> its Resolutions ACHPR/RES. 332 (EXT.OS/XIX) 2016 on human rights in conflict situations, ACHPR/Res.369(LX) 2017 on the situation of internally displaced persons in Africa, ACHPR/Res.470 (LXVII) 2020 on the protection of refugees, asylum seekers, internally displaced persons and migrants in the fight against the COVID-19 pandemic in Africa, ACHPR/Res.484 (EXT.OS/XXXIII) 2021 on the respect for the principle of non-refoulement of asylum seekers and refugees, and UN Security Council Resolution 1674 (2006) which reaffirms the need to maintain the security and civilian character of camps and stresses the primary responsibility of States in this regard;</w:t>
      </w:r>
    </w:p>
    <w:p w14:paraId="34C16CF3" w14:textId="77777777" w:rsidR="00CF07FC" w:rsidRPr="00CF07FC" w:rsidRDefault="00CF07FC" w:rsidP="00CF07FC">
      <w:pPr>
        <w:rPr>
          <w:rFonts w:ascii="Book Antiqua" w:hAnsi="Book Antiqua"/>
          <w:sz w:val="24"/>
          <w:szCs w:val="24"/>
        </w:rPr>
      </w:pPr>
      <w:r w:rsidRPr="00CF07FC">
        <w:rPr>
          <w:rFonts w:ascii="Book Antiqua" w:hAnsi="Book Antiqua"/>
          <w:b/>
          <w:bCs/>
          <w:i/>
          <w:iCs/>
          <w:sz w:val="24"/>
          <w:szCs w:val="24"/>
        </w:rPr>
        <w:t>Bearing in mind</w:t>
      </w:r>
      <w:r w:rsidRPr="00CF07FC">
        <w:rPr>
          <w:rFonts w:ascii="Book Antiqua" w:hAnsi="Book Antiqua"/>
          <w:sz w:val="24"/>
          <w:szCs w:val="24"/>
        </w:rPr>
        <w:t xml:space="preserve"> its Press Release of 5 December 2021 on the killings of internally displaced persons in the eastern region of the Democratic Republic of </w:t>
      </w:r>
      <w:proofErr w:type="gramStart"/>
      <w:r w:rsidRPr="00CF07FC">
        <w:rPr>
          <w:rFonts w:ascii="Book Antiqua" w:hAnsi="Book Antiqua"/>
          <w:sz w:val="24"/>
          <w:szCs w:val="24"/>
        </w:rPr>
        <w:t>Congo;</w:t>
      </w:r>
      <w:proofErr w:type="gramEnd"/>
      <w:r w:rsidRPr="00CF07FC">
        <w:rPr>
          <w:rFonts w:ascii="Book Antiqua" w:hAnsi="Book Antiqua"/>
          <w:sz w:val="24"/>
          <w:szCs w:val="24"/>
        </w:rPr>
        <w:t xml:space="preserve"> </w:t>
      </w:r>
    </w:p>
    <w:p w14:paraId="181ED6C8" w14:textId="37DFEB0A" w:rsidR="00CF07FC" w:rsidRPr="00CF07FC" w:rsidRDefault="00CF07FC" w:rsidP="00CF07FC">
      <w:pPr>
        <w:rPr>
          <w:rFonts w:ascii="Book Antiqua" w:hAnsi="Book Antiqua"/>
          <w:sz w:val="24"/>
          <w:szCs w:val="24"/>
        </w:rPr>
      </w:pPr>
      <w:r w:rsidRPr="00CF07FC">
        <w:rPr>
          <w:rFonts w:ascii="Book Antiqua" w:hAnsi="Book Antiqua"/>
          <w:b/>
          <w:bCs/>
          <w:i/>
          <w:iCs/>
          <w:sz w:val="24"/>
          <w:szCs w:val="24"/>
        </w:rPr>
        <w:t>R</w:t>
      </w:r>
      <w:r w:rsidRPr="00CF07FC">
        <w:rPr>
          <w:rFonts w:ascii="Book Antiqua" w:hAnsi="Book Antiqua"/>
          <w:b/>
          <w:bCs/>
          <w:i/>
          <w:iCs/>
          <w:sz w:val="24"/>
          <w:szCs w:val="24"/>
        </w:rPr>
        <w:t>ecalling</w:t>
      </w:r>
      <w:r w:rsidRPr="00CF07FC">
        <w:rPr>
          <w:rFonts w:ascii="Book Antiqua" w:hAnsi="Book Antiqua"/>
          <w:sz w:val="24"/>
          <w:szCs w:val="24"/>
        </w:rPr>
        <w:t xml:space="preserve"> the implementation commitments from the 1st Meeting of the Conference of States Parties to the 2009 African Union Convention for the Protection and Assistance of Internally Displaced Persons in Africa (Kampala Convention) held in Harare, Zimbabwe, in April </w:t>
      </w:r>
      <w:proofErr w:type="gramStart"/>
      <w:r w:rsidRPr="00CF07FC">
        <w:rPr>
          <w:rFonts w:ascii="Book Antiqua" w:hAnsi="Book Antiqua"/>
          <w:sz w:val="24"/>
          <w:szCs w:val="24"/>
        </w:rPr>
        <w:t>2017;</w:t>
      </w:r>
      <w:proofErr w:type="gramEnd"/>
    </w:p>
    <w:p w14:paraId="00776D6C" w14:textId="77777777" w:rsidR="00CF07FC" w:rsidRPr="00CF07FC" w:rsidRDefault="00CF07FC" w:rsidP="00CF07FC">
      <w:pPr>
        <w:rPr>
          <w:rFonts w:ascii="Book Antiqua" w:hAnsi="Book Antiqua"/>
          <w:sz w:val="24"/>
          <w:szCs w:val="24"/>
        </w:rPr>
      </w:pPr>
      <w:r w:rsidRPr="00CF07FC">
        <w:rPr>
          <w:rFonts w:ascii="Book Antiqua" w:hAnsi="Book Antiqua"/>
          <w:b/>
          <w:bCs/>
          <w:i/>
          <w:iCs/>
          <w:sz w:val="24"/>
          <w:szCs w:val="24"/>
        </w:rPr>
        <w:t>Further recalling</w:t>
      </w:r>
      <w:r w:rsidRPr="00CF07FC">
        <w:rPr>
          <w:rFonts w:ascii="Book Antiqua" w:hAnsi="Book Antiqua"/>
          <w:sz w:val="24"/>
          <w:szCs w:val="24"/>
        </w:rPr>
        <w:t xml:space="preserve"> the provisions of the UN Guiding Principles on Internal </w:t>
      </w:r>
      <w:proofErr w:type="gramStart"/>
      <w:r w:rsidRPr="00CF07FC">
        <w:rPr>
          <w:rFonts w:ascii="Book Antiqua" w:hAnsi="Book Antiqua"/>
          <w:sz w:val="24"/>
          <w:szCs w:val="24"/>
        </w:rPr>
        <w:t>Displacement;</w:t>
      </w:r>
      <w:proofErr w:type="gramEnd"/>
    </w:p>
    <w:p w14:paraId="3A4901B7" w14:textId="77777777" w:rsidR="00CF07FC" w:rsidRPr="00CF07FC" w:rsidRDefault="00CF07FC" w:rsidP="00CF07FC">
      <w:pPr>
        <w:rPr>
          <w:rFonts w:ascii="Book Antiqua" w:hAnsi="Book Antiqua"/>
          <w:sz w:val="24"/>
          <w:szCs w:val="24"/>
        </w:rPr>
      </w:pPr>
      <w:r w:rsidRPr="00CF07FC">
        <w:rPr>
          <w:rFonts w:ascii="Book Antiqua" w:hAnsi="Book Antiqua"/>
          <w:b/>
          <w:bCs/>
          <w:i/>
          <w:iCs/>
          <w:sz w:val="24"/>
          <w:szCs w:val="24"/>
        </w:rPr>
        <w:t>Considering</w:t>
      </w:r>
      <w:r w:rsidRPr="00CF07FC">
        <w:rPr>
          <w:rFonts w:ascii="Book Antiqua" w:hAnsi="Book Antiqua"/>
          <w:sz w:val="24"/>
          <w:szCs w:val="24"/>
        </w:rPr>
        <w:t xml:space="preserve"> the commitment of States Parties in the preamble of the Kampala Convention to provide durable solutions to situations of internally displaced persons by establishing an appropriate legal framework for their protection and assistance, and to adopt measures aimed at preventing and putting an end to internal displacements by eradicating the root causes, especially those caused by natural </w:t>
      </w:r>
      <w:proofErr w:type="gramStart"/>
      <w:r w:rsidRPr="00CF07FC">
        <w:rPr>
          <w:rFonts w:ascii="Book Antiqua" w:hAnsi="Book Antiqua"/>
          <w:sz w:val="24"/>
          <w:szCs w:val="24"/>
        </w:rPr>
        <w:t>disasters;</w:t>
      </w:r>
      <w:proofErr w:type="gramEnd"/>
    </w:p>
    <w:p w14:paraId="6855F755" w14:textId="77777777" w:rsidR="00CF07FC" w:rsidRPr="00CF07FC" w:rsidRDefault="00CF07FC" w:rsidP="00CF07FC">
      <w:pPr>
        <w:rPr>
          <w:rFonts w:ascii="Book Antiqua" w:hAnsi="Book Antiqua"/>
          <w:sz w:val="24"/>
          <w:szCs w:val="24"/>
        </w:rPr>
      </w:pPr>
      <w:r w:rsidRPr="00CF07FC">
        <w:rPr>
          <w:rFonts w:ascii="Book Antiqua" w:hAnsi="Book Antiqua"/>
          <w:b/>
          <w:bCs/>
          <w:i/>
          <w:iCs/>
          <w:sz w:val="24"/>
          <w:szCs w:val="24"/>
        </w:rPr>
        <w:lastRenderedPageBreak/>
        <w:t>Deeply concerned</w:t>
      </w:r>
      <w:r w:rsidRPr="00CF07FC">
        <w:rPr>
          <w:rFonts w:ascii="Book Antiqua" w:hAnsi="Book Antiqua"/>
          <w:sz w:val="24"/>
          <w:szCs w:val="24"/>
        </w:rPr>
        <w:t xml:space="preserve"> about the sharp increase in violence in sub-Saharan Africa, the continuation of fighting in the eastern part of the Democratic Republic of Congo and the Tigray region in the Federal Democratic Republic of Ethiopia, resulting in increased vulnerability of internally displaced persons (IDPs), loss of life, as well as the double displacement imposed on IDPs seeking safety due to unacceptable attacks on camps in various countries including the Democratic Republic of Congo, Burkina Faso, Niger, Mali and the Federal Democratic Republic of Ethiopia;</w:t>
      </w:r>
    </w:p>
    <w:p w14:paraId="5D3AAB0D" w14:textId="77777777" w:rsidR="00CF07FC" w:rsidRPr="00CF07FC" w:rsidRDefault="00CF07FC" w:rsidP="00CF07FC">
      <w:pPr>
        <w:rPr>
          <w:rFonts w:ascii="Book Antiqua" w:hAnsi="Book Antiqua"/>
          <w:sz w:val="24"/>
          <w:szCs w:val="24"/>
        </w:rPr>
      </w:pPr>
      <w:r w:rsidRPr="00CF07FC">
        <w:rPr>
          <w:rFonts w:ascii="Book Antiqua" w:hAnsi="Book Antiqua"/>
          <w:b/>
          <w:bCs/>
          <w:i/>
          <w:iCs/>
          <w:sz w:val="24"/>
          <w:szCs w:val="24"/>
        </w:rPr>
        <w:t>Deploring</w:t>
      </w:r>
      <w:r w:rsidRPr="00CF07FC">
        <w:rPr>
          <w:rFonts w:ascii="Book Antiqua" w:hAnsi="Book Antiqua"/>
          <w:sz w:val="24"/>
          <w:szCs w:val="24"/>
        </w:rPr>
        <w:t xml:space="preserve"> the lack of protection by States at IDP camps and </w:t>
      </w:r>
      <w:proofErr w:type="gramStart"/>
      <w:r w:rsidRPr="00CF07FC">
        <w:rPr>
          <w:rFonts w:ascii="Book Antiqua" w:hAnsi="Book Antiqua"/>
          <w:sz w:val="24"/>
          <w:szCs w:val="24"/>
        </w:rPr>
        <w:t>sites;</w:t>
      </w:r>
      <w:proofErr w:type="gramEnd"/>
    </w:p>
    <w:p w14:paraId="56DA9BF5" w14:textId="77777777" w:rsidR="00CF07FC" w:rsidRPr="00CF07FC" w:rsidRDefault="00CF07FC" w:rsidP="00CF07FC">
      <w:pPr>
        <w:rPr>
          <w:rFonts w:ascii="Book Antiqua" w:hAnsi="Book Antiqua"/>
          <w:sz w:val="24"/>
          <w:szCs w:val="24"/>
        </w:rPr>
      </w:pPr>
      <w:r w:rsidRPr="00CF07FC">
        <w:rPr>
          <w:rFonts w:ascii="Book Antiqua" w:hAnsi="Book Antiqua"/>
          <w:b/>
          <w:bCs/>
          <w:i/>
          <w:iCs/>
          <w:sz w:val="24"/>
          <w:szCs w:val="24"/>
        </w:rPr>
        <w:t>Recalling</w:t>
      </w:r>
      <w:r w:rsidRPr="00CF07FC">
        <w:rPr>
          <w:rFonts w:ascii="Book Antiqua" w:hAnsi="Book Antiqua"/>
          <w:sz w:val="24"/>
          <w:szCs w:val="24"/>
        </w:rPr>
        <w:t xml:space="preserve"> the need to meet the requirements of internally displaced persons who generally lack the resources to survive the multiple displacements they have to </w:t>
      </w:r>
      <w:proofErr w:type="gramStart"/>
      <w:r w:rsidRPr="00CF07FC">
        <w:rPr>
          <w:rFonts w:ascii="Book Antiqua" w:hAnsi="Book Antiqua"/>
          <w:sz w:val="24"/>
          <w:szCs w:val="24"/>
        </w:rPr>
        <w:t>endure;</w:t>
      </w:r>
      <w:proofErr w:type="gramEnd"/>
    </w:p>
    <w:p w14:paraId="6FEDA488" w14:textId="77777777" w:rsidR="00CF07FC" w:rsidRPr="00CF07FC" w:rsidRDefault="00CF07FC" w:rsidP="00CF07FC">
      <w:pPr>
        <w:rPr>
          <w:rFonts w:ascii="Book Antiqua" w:hAnsi="Book Antiqua"/>
          <w:sz w:val="24"/>
          <w:szCs w:val="24"/>
        </w:rPr>
      </w:pPr>
      <w:r w:rsidRPr="00CF07FC">
        <w:rPr>
          <w:rFonts w:ascii="Book Antiqua" w:hAnsi="Book Antiqua"/>
          <w:b/>
          <w:bCs/>
          <w:i/>
          <w:iCs/>
          <w:sz w:val="24"/>
          <w:szCs w:val="24"/>
        </w:rPr>
        <w:t>Bearing in mind</w:t>
      </w:r>
      <w:r w:rsidRPr="00CF07FC">
        <w:rPr>
          <w:rFonts w:ascii="Book Antiqua" w:hAnsi="Book Antiqua"/>
          <w:sz w:val="24"/>
          <w:szCs w:val="24"/>
        </w:rPr>
        <w:t xml:space="preserve"> the role of the Commission under Article 45, paragraph 1(a) of the African Charter, which </w:t>
      </w:r>
      <w:proofErr w:type="spellStart"/>
      <w:r w:rsidRPr="00CF07FC">
        <w:rPr>
          <w:rFonts w:ascii="Book Antiqua" w:hAnsi="Book Antiqua"/>
          <w:sz w:val="24"/>
          <w:szCs w:val="24"/>
        </w:rPr>
        <w:t>authorises</w:t>
      </w:r>
      <w:proofErr w:type="spellEnd"/>
      <w:r w:rsidRPr="00CF07FC">
        <w:rPr>
          <w:rFonts w:ascii="Book Antiqua" w:hAnsi="Book Antiqua"/>
          <w:sz w:val="24"/>
          <w:szCs w:val="24"/>
        </w:rPr>
        <w:t xml:space="preserve"> it to “(…) give its views or make recommendations to Governments</w:t>
      </w:r>
      <w:proofErr w:type="gramStart"/>
      <w:r w:rsidRPr="00CF07FC">
        <w:rPr>
          <w:rFonts w:ascii="Book Antiqua" w:hAnsi="Book Antiqua"/>
          <w:sz w:val="24"/>
          <w:szCs w:val="24"/>
        </w:rPr>
        <w:t>”;</w:t>
      </w:r>
      <w:proofErr w:type="gramEnd"/>
    </w:p>
    <w:p w14:paraId="34A3FB9A" w14:textId="77777777" w:rsidR="00CF07FC" w:rsidRPr="00CF07FC" w:rsidRDefault="00CF07FC" w:rsidP="00CF07FC">
      <w:pPr>
        <w:rPr>
          <w:rFonts w:ascii="Book Antiqua" w:hAnsi="Book Antiqua"/>
          <w:b/>
          <w:bCs/>
          <w:sz w:val="24"/>
          <w:szCs w:val="24"/>
        </w:rPr>
      </w:pPr>
      <w:r w:rsidRPr="00CF07FC">
        <w:rPr>
          <w:rFonts w:ascii="Book Antiqua" w:hAnsi="Book Antiqua"/>
          <w:b/>
          <w:bCs/>
          <w:sz w:val="24"/>
          <w:szCs w:val="24"/>
        </w:rPr>
        <w:t>The Commission:</w:t>
      </w:r>
    </w:p>
    <w:p w14:paraId="126B89D1" w14:textId="77777777" w:rsidR="00CF07FC" w:rsidRPr="00CF07FC" w:rsidRDefault="00CF07FC" w:rsidP="00CF07FC">
      <w:pPr>
        <w:ind w:left="720"/>
        <w:rPr>
          <w:rFonts w:ascii="Book Antiqua" w:hAnsi="Book Antiqua"/>
          <w:sz w:val="24"/>
          <w:szCs w:val="24"/>
        </w:rPr>
      </w:pPr>
      <w:r w:rsidRPr="00CF07FC">
        <w:rPr>
          <w:rFonts w:ascii="Book Antiqua" w:hAnsi="Book Antiqua"/>
          <w:sz w:val="24"/>
          <w:szCs w:val="24"/>
        </w:rPr>
        <w:t xml:space="preserve">1. Condemns the </w:t>
      </w:r>
      <w:proofErr w:type="gramStart"/>
      <w:r w:rsidRPr="00CF07FC">
        <w:rPr>
          <w:rFonts w:ascii="Book Antiqua" w:hAnsi="Book Antiqua"/>
          <w:sz w:val="24"/>
          <w:szCs w:val="24"/>
        </w:rPr>
        <w:t>multiples  attacks</w:t>
      </w:r>
      <w:proofErr w:type="gramEnd"/>
      <w:r w:rsidRPr="00CF07FC">
        <w:rPr>
          <w:rFonts w:ascii="Book Antiqua" w:hAnsi="Book Antiqua"/>
          <w:sz w:val="24"/>
          <w:szCs w:val="24"/>
        </w:rPr>
        <w:t xml:space="preserve"> on IDP camps and sites;  </w:t>
      </w:r>
    </w:p>
    <w:p w14:paraId="13325130" w14:textId="77777777" w:rsidR="00CF07FC" w:rsidRPr="00CF07FC" w:rsidRDefault="00CF07FC" w:rsidP="00CF07FC">
      <w:pPr>
        <w:ind w:left="720"/>
        <w:rPr>
          <w:rFonts w:ascii="Book Antiqua" w:hAnsi="Book Antiqua"/>
          <w:sz w:val="24"/>
          <w:szCs w:val="24"/>
        </w:rPr>
      </w:pPr>
      <w:r w:rsidRPr="00CF07FC">
        <w:rPr>
          <w:rFonts w:ascii="Book Antiqua" w:hAnsi="Book Antiqua"/>
          <w:sz w:val="24"/>
          <w:szCs w:val="24"/>
        </w:rPr>
        <w:t xml:space="preserve">2. Calls on the various actors to respect the civilian and humanitarian character of IDP camps and </w:t>
      </w:r>
      <w:proofErr w:type="gramStart"/>
      <w:r w:rsidRPr="00CF07FC">
        <w:rPr>
          <w:rFonts w:ascii="Book Antiqua" w:hAnsi="Book Antiqua"/>
          <w:sz w:val="24"/>
          <w:szCs w:val="24"/>
        </w:rPr>
        <w:t>sites;</w:t>
      </w:r>
      <w:proofErr w:type="gramEnd"/>
    </w:p>
    <w:p w14:paraId="10928183" w14:textId="77777777" w:rsidR="00CF07FC" w:rsidRPr="00CF07FC" w:rsidRDefault="00CF07FC" w:rsidP="00CF07FC">
      <w:pPr>
        <w:ind w:left="720"/>
        <w:rPr>
          <w:rFonts w:ascii="Book Antiqua" w:hAnsi="Book Antiqua"/>
          <w:sz w:val="24"/>
          <w:szCs w:val="24"/>
        </w:rPr>
      </w:pPr>
      <w:r w:rsidRPr="00CF07FC">
        <w:rPr>
          <w:rFonts w:ascii="Book Antiqua" w:hAnsi="Book Antiqua"/>
          <w:sz w:val="24"/>
          <w:szCs w:val="24"/>
        </w:rPr>
        <w:t xml:space="preserve">3. Calls on States to effectively conduct investigations in order to prosecute and convict the perpetrators and thereby contribute to strengthening the system for combating impunity and ensuring equal justice for </w:t>
      </w:r>
      <w:proofErr w:type="gramStart"/>
      <w:r w:rsidRPr="00CF07FC">
        <w:rPr>
          <w:rFonts w:ascii="Book Antiqua" w:hAnsi="Book Antiqua"/>
          <w:sz w:val="24"/>
          <w:szCs w:val="24"/>
        </w:rPr>
        <w:t>all;</w:t>
      </w:r>
      <w:proofErr w:type="gramEnd"/>
    </w:p>
    <w:p w14:paraId="315C7D8F" w14:textId="37E9826D" w:rsidR="00CF07FC" w:rsidRPr="00CF07FC" w:rsidRDefault="00CF07FC" w:rsidP="00CF07FC">
      <w:pPr>
        <w:ind w:left="720"/>
        <w:rPr>
          <w:rFonts w:ascii="Book Antiqua" w:hAnsi="Book Antiqua"/>
          <w:sz w:val="24"/>
          <w:szCs w:val="24"/>
        </w:rPr>
      </w:pPr>
      <w:r>
        <w:rPr>
          <w:rFonts w:ascii="Book Antiqua" w:hAnsi="Book Antiqua"/>
          <w:sz w:val="24"/>
          <w:szCs w:val="24"/>
        </w:rPr>
        <w:t>4</w:t>
      </w:r>
      <w:r w:rsidRPr="00CF07FC">
        <w:rPr>
          <w:rFonts w:ascii="Book Antiqua" w:hAnsi="Book Antiqua"/>
          <w:sz w:val="24"/>
          <w:szCs w:val="24"/>
        </w:rPr>
        <w:t xml:space="preserve">. Reminds States of their treaty obligations and the commitments they have made by embracing the standards and policies of the African Union relating to the protection of asylum seekers, refugees and migrants on the continent, in particular the 1969 OAU Convention Governing the Specific Aspects of Refugee Problems in Africa and the Kampala </w:t>
      </w:r>
      <w:proofErr w:type="gramStart"/>
      <w:r w:rsidRPr="00CF07FC">
        <w:rPr>
          <w:rFonts w:ascii="Book Antiqua" w:hAnsi="Book Antiqua"/>
          <w:sz w:val="24"/>
          <w:szCs w:val="24"/>
        </w:rPr>
        <w:t>Convention;</w:t>
      </w:r>
      <w:proofErr w:type="gramEnd"/>
    </w:p>
    <w:p w14:paraId="5943F03C" w14:textId="77777777" w:rsidR="00CF07FC" w:rsidRPr="00CF07FC" w:rsidRDefault="00CF07FC" w:rsidP="00CF07FC">
      <w:pPr>
        <w:ind w:left="720"/>
        <w:rPr>
          <w:rFonts w:ascii="Book Antiqua" w:hAnsi="Book Antiqua"/>
          <w:sz w:val="24"/>
          <w:szCs w:val="24"/>
        </w:rPr>
      </w:pPr>
      <w:r w:rsidRPr="00CF07FC">
        <w:rPr>
          <w:rFonts w:ascii="Book Antiqua" w:hAnsi="Book Antiqua"/>
          <w:sz w:val="24"/>
          <w:szCs w:val="24"/>
        </w:rPr>
        <w:t xml:space="preserve">5. Calls on States that have ratified the Kampala Convention to establish or strengthen early warning mechanisms to support risk prevention and protection, including those relating to attacks on civilians at IDP </w:t>
      </w:r>
      <w:proofErr w:type="gramStart"/>
      <w:r w:rsidRPr="00CF07FC">
        <w:rPr>
          <w:rFonts w:ascii="Book Antiqua" w:hAnsi="Book Antiqua"/>
          <w:sz w:val="24"/>
          <w:szCs w:val="24"/>
        </w:rPr>
        <w:t>sites;</w:t>
      </w:r>
      <w:proofErr w:type="gramEnd"/>
    </w:p>
    <w:p w14:paraId="020F4127" w14:textId="77777777" w:rsidR="00CF07FC" w:rsidRPr="00CF07FC" w:rsidRDefault="00CF07FC" w:rsidP="00CF07FC">
      <w:pPr>
        <w:ind w:left="720"/>
        <w:rPr>
          <w:rFonts w:ascii="Book Antiqua" w:hAnsi="Book Antiqua"/>
          <w:sz w:val="24"/>
          <w:szCs w:val="24"/>
        </w:rPr>
      </w:pPr>
      <w:r w:rsidRPr="00CF07FC">
        <w:rPr>
          <w:rFonts w:ascii="Book Antiqua" w:hAnsi="Book Antiqua"/>
          <w:sz w:val="24"/>
          <w:szCs w:val="24"/>
        </w:rPr>
        <w:t xml:space="preserve">6. Urges the African Union to engage in the resolution of the various conflicts which exacerbate forced internal displacement, in particular by restoring the security and presence of the State on sites where displaced persons are hosted, and to protect their rights against all kinds of </w:t>
      </w:r>
      <w:proofErr w:type="gramStart"/>
      <w:r w:rsidRPr="00CF07FC">
        <w:rPr>
          <w:rFonts w:ascii="Book Antiqua" w:hAnsi="Book Antiqua"/>
          <w:sz w:val="24"/>
          <w:szCs w:val="24"/>
        </w:rPr>
        <w:t>violations;</w:t>
      </w:r>
      <w:proofErr w:type="gramEnd"/>
      <w:r w:rsidRPr="00CF07FC">
        <w:rPr>
          <w:rFonts w:ascii="Book Antiqua" w:hAnsi="Book Antiqua"/>
          <w:sz w:val="24"/>
          <w:szCs w:val="24"/>
        </w:rPr>
        <w:t xml:space="preserve"> </w:t>
      </w:r>
    </w:p>
    <w:p w14:paraId="1D6052C5" w14:textId="77777777" w:rsidR="00CF07FC" w:rsidRDefault="00CF07FC" w:rsidP="00CF07FC">
      <w:pPr>
        <w:ind w:left="720"/>
        <w:rPr>
          <w:rFonts w:ascii="Book Antiqua" w:hAnsi="Book Antiqua"/>
          <w:sz w:val="24"/>
          <w:szCs w:val="24"/>
        </w:rPr>
      </w:pPr>
      <w:r w:rsidRPr="00CF07FC">
        <w:rPr>
          <w:rFonts w:ascii="Book Antiqua" w:hAnsi="Book Antiqua"/>
          <w:sz w:val="24"/>
          <w:szCs w:val="24"/>
        </w:rPr>
        <w:t>7. Calls on States to:</w:t>
      </w:r>
    </w:p>
    <w:p w14:paraId="3462D02E" w14:textId="77777777" w:rsidR="00CF07FC" w:rsidRDefault="00CF07FC" w:rsidP="00CF07FC">
      <w:pPr>
        <w:ind w:left="1440"/>
        <w:rPr>
          <w:rFonts w:ascii="Book Antiqua" w:hAnsi="Book Antiqua"/>
          <w:sz w:val="24"/>
          <w:szCs w:val="24"/>
        </w:rPr>
      </w:pPr>
      <w:proofErr w:type="spellStart"/>
      <w:r w:rsidRPr="00CF07FC">
        <w:rPr>
          <w:rFonts w:ascii="Book Antiqua" w:hAnsi="Book Antiqua"/>
          <w:sz w:val="24"/>
          <w:szCs w:val="24"/>
        </w:rPr>
        <w:lastRenderedPageBreak/>
        <w:t>i</w:t>
      </w:r>
      <w:proofErr w:type="spellEnd"/>
      <w:r w:rsidRPr="00CF07FC">
        <w:rPr>
          <w:rFonts w:ascii="Book Antiqua" w:hAnsi="Book Antiqua"/>
          <w:sz w:val="24"/>
          <w:szCs w:val="24"/>
        </w:rPr>
        <w:t xml:space="preserve">. </w:t>
      </w:r>
      <w:proofErr w:type="gramStart"/>
      <w:r w:rsidRPr="00CF07FC">
        <w:rPr>
          <w:rFonts w:ascii="Book Antiqua" w:hAnsi="Book Antiqua"/>
          <w:sz w:val="24"/>
          <w:szCs w:val="24"/>
        </w:rPr>
        <w:t>ensure</w:t>
      </w:r>
      <w:proofErr w:type="gramEnd"/>
      <w:r w:rsidRPr="00CF07FC">
        <w:rPr>
          <w:rFonts w:ascii="Book Antiqua" w:hAnsi="Book Antiqua"/>
          <w:sz w:val="24"/>
          <w:szCs w:val="24"/>
        </w:rPr>
        <w:t xml:space="preserve"> that sites for displaced persons are located away from conflict zones and to give priority to stable and secure areas;</w:t>
      </w:r>
    </w:p>
    <w:p w14:paraId="434122AF" w14:textId="4DD947F5" w:rsidR="00CF07FC" w:rsidRPr="00CF07FC" w:rsidRDefault="00CF07FC" w:rsidP="00CF07FC">
      <w:pPr>
        <w:ind w:left="1440"/>
        <w:rPr>
          <w:rFonts w:ascii="Book Antiqua" w:hAnsi="Book Antiqua"/>
          <w:sz w:val="24"/>
          <w:szCs w:val="24"/>
        </w:rPr>
      </w:pPr>
      <w:r w:rsidRPr="00CF07FC">
        <w:rPr>
          <w:rFonts w:ascii="Book Antiqua" w:hAnsi="Book Antiqua"/>
          <w:sz w:val="24"/>
          <w:szCs w:val="24"/>
        </w:rPr>
        <w:t xml:space="preserve">ii. to empower national camp coordination and management mechanisms so as to effectively ensure the security of displaced </w:t>
      </w:r>
      <w:proofErr w:type="gramStart"/>
      <w:r w:rsidRPr="00CF07FC">
        <w:rPr>
          <w:rFonts w:ascii="Book Antiqua" w:hAnsi="Book Antiqua"/>
          <w:sz w:val="24"/>
          <w:szCs w:val="24"/>
        </w:rPr>
        <w:t>persons;</w:t>
      </w:r>
      <w:proofErr w:type="gramEnd"/>
    </w:p>
    <w:p w14:paraId="34DC6D1D" w14:textId="77777777" w:rsidR="00CF07FC" w:rsidRPr="00CF07FC" w:rsidRDefault="00CF07FC" w:rsidP="00CF07FC">
      <w:pPr>
        <w:ind w:left="720"/>
        <w:rPr>
          <w:rFonts w:ascii="Book Antiqua" w:hAnsi="Book Antiqua"/>
          <w:sz w:val="24"/>
          <w:szCs w:val="24"/>
        </w:rPr>
      </w:pPr>
      <w:r w:rsidRPr="00CF07FC">
        <w:rPr>
          <w:rFonts w:ascii="Book Antiqua" w:hAnsi="Book Antiqua"/>
          <w:sz w:val="24"/>
          <w:szCs w:val="24"/>
        </w:rPr>
        <w:t xml:space="preserve">8. Calls on humanitarian agencies to increase their involvement in the </w:t>
      </w:r>
      <w:proofErr w:type="gramStart"/>
      <w:r w:rsidRPr="00CF07FC">
        <w:rPr>
          <w:rFonts w:ascii="Book Antiqua" w:hAnsi="Book Antiqua"/>
          <w:sz w:val="24"/>
          <w:szCs w:val="24"/>
        </w:rPr>
        <w:t>coordination  with</w:t>
      </w:r>
      <w:proofErr w:type="gramEnd"/>
      <w:r w:rsidRPr="00CF07FC">
        <w:rPr>
          <w:rFonts w:ascii="Book Antiqua" w:hAnsi="Book Antiqua"/>
          <w:sz w:val="24"/>
          <w:szCs w:val="24"/>
        </w:rPr>
        <w:t xml:space="preserve"> nationals actors in the management and protection of sites hosting IDPs in order to secure the sites and provide stability to the displaced populations.</w:t>
      </w:r>
    </w:p>
    <w:p w14:paraId="0752CDB3" w14:textId="77777777" w:rsidR="00CF07FC" w:rsidRPr="00CF07FC" w:rsidRDefault="00CF07FC" w:rsidP="00CF07FC">
      <w:pPr>
        <w:rPr>
          <w:rFonts w:ascii="Book Antiqua" w:hAnsi="Book Antiqua"/>
          <w:sz w:val="24"/>
          <w:szCs w:val="24"/>
        </w:rPr>
      </w:pPr>
    </w:p>
    <w:p w14:paraId="432C1FFB" w14:textId="0EAA0F8B" w:rsidR="005F663D" w:rsidRPr="00CF07FC" w:rsidRDefault="00CF07FC" w:rsidP="00CF07FC">
      <w:pPr>
        <w:rPr>
          <w:rFonts w:ascii="Book Antiqua" w:hAnsi="Book Antiqua"/>
          <w:b/>
          <w:bCs/>
          <w:sz w:val="24"/>
          <w:szCs w:val="24"/>
        </w:rPr>
      </w:pPr>
      <w:r w:rsidRPr="00CF07FC">
        <w:rPr>
          <w:rFonts w:ascii="Book Antiqua" w:hAnsi="Book Antiqua"/>
          <w:b/>
          <w:bCs/>
          <w:sz w:val="24"/>
          <w:szCs w:val="24"/>
        </w:rPr>
        <w:t>Done on 9 March 2022</w:t>
      </w:r>
    </w:p>
    <w:sectPr w:rsidR="005F663D" w:rsidRPr="00CF0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FC"/>
    <w:rsid w:val="005F663D"/>
    <w:rsid w:val="00CF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8D36"/>
  <w15:chartTrackingRefBased/>
  <w15:docId w15:val="{08D92381-9364-40C1-BC97-46ECB7B1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9734">
      <w:bodyDiv w:val="1"/>
      <w:marLeft w:val="0"/>
      <w:marRight w:val="0"/>
      <w:marTop w:val="0"/>
      <w:marBottom w:val="0"/>
      <w:divBdr>
        <w:top w:val="none" w:sz="0" w:space="0" w:color="auto"/>
        <w:left w:val="none" w:sz="0" w:space="0" w:color="auto"/>
        <w:bottom w:val="none" w:sz="0" w:space="0" w:color="auto"/>
        <w:right w:val="none" w:sz="0" w:space="0" w:color="auto"/>
      </w:divBdr>
    </w:div>
    <w:div w:id="129679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Badeva-Bright</dc:creator>
  <cp:keywords/>
  <dc:description/>
  <cp:lastModifiedBy>Mariya Badeva-Bright</cp:lastModifiedBy>
  <cp:revision>1</cp:revision>
  <dcterms:created xsi:type="dcterms:W3CDTF">2022-04-20T00:37:00Z</dcterms:created>
  <dcterms:modified xsi:type="dcterms:W3CDTF">2022-04-20T00:39:00Z</dcterms:modified>
</cp:coreProperties>
</file>